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3C" w:rsidRDefault="00E9233C" w:rsidP="00E9233C">
      <w:pPr>
        <w:rPr>
          <w:b/>
        </w:rPr>
      </w:pPr>
      <w:r>
        <w:rPr>
          <w:b/>
        </w:rPr>
        <w:t>Pavel Nachytal</w:t>
      </w:r>
    </w:p>
    <w:p w:rsidR="00E9233C" w:rsidRDefault="00E9233C" w:rsidP="00E9233C">
      <w:r>
        <w:t xml:space="preserve">Útulná 10 </w:t>
      </w:r>
    </w:p>
    <w:p w:rsidR="00E9233C" w:rsidRPr="00E9233C" w:rsidRDefault="00E9233C" w:rsidP="00E9233C">
      <w:pPr>
        <w:rPr>
          <w:b/>
        </w:rPr>
      </w:pPr>
      <w:r>
        <w:t>123 45 Praha</w:t>
      </w:r>
    </w:p>
    <w:p w:rsidR="00E9233C" w:rsidRDefault="00E9233C" w:rsidP="00E9233C"/>
    <w:p w:rsidR="00E9233C" w:rsidRDefault="00E9233C" w:rsidP="00E9233C">
      <w:pPr>
        <w:jc w:val="left"/>
        <w:rPr>
          <w:b/>
        </w:rPr>
      </w:pPr>
    </w:p>
    <w:p w:rsidR="00E9233C" w:rsidRDefault="00E9233C" w:rsidP="007E155B">
      <w:pPr>
        <w:ind w:left="5040"/>
        <w:rPr>
          <w:b/>
        </w:rPr>
      </w:pPr>
    </w:p>
    <w:p w:rsidR="007E155B" w:rsidRPr="00E9233C" w:rsidRDefault="007E155B" w:rsidP="007E155B">
      <w:pPr>
        <w:ind w:left="5040"/>
        <w:rPr>
          <w:b/>
        </w:rPr>
      </w:pPr>
      <w:r>
        <w:rPr>
          <w:b/>
        </w:rPr>
        <w:t xml:space="preserve">JUDr. </w:t>
      </w:r>
      <w:r w:rsidR="00E9233C" w:rsidRPr="00E9233C">
        <w:rPr>
          <w:b/>
        </w:rPr>
        <w:t>Miloslav Vymahač</w:t>
      </w:r>
      <w:r w:rsidRPr="00E9233C">
        <w:rPr>
          <w:b/>
        </w:rPr>
        <w:t>, soudní exekutor</w:t>
      </w:r>
    </w:p>
    <w:p w:rsidR="007E155B" w:rsidRPr="00E9233C" w:rsidRDefault="007E155B" w:rsidP="007E155B">
      <w:pPr>
        <w:ind w:left="5040"/>
      </w:pPr>
      <w:r w:rsidRPr="00E9233C">
        <w:t xml:space="preserve">Exekutorský úřad </w:t>
      </w:r>
      <w:r w:rsidR="00E9233C" w:rsidRPr="00E9233C">
        <w:t>Praha</w:t>
      </w:r>
    </w:p>
    <w:p w:rsidR="007E155B" w:rsidRPr="00E9233C" w:rsidRDefault="00E9233C" w:rsidP="007E155B">
      <w:pPr>
        <w:ind w:left="5040"/>
      </w:pPr>
      <w:proofErr w:type="spellStart"/>
      <w:r w:rsidRPr="00E9233C">
        <w:t>Vykočilova</w:t>
      </w:r>
      <w:proofErr w:type="spellEnd"/>
      <w:r w:rsidR="007E155B" w:rsidRPr="00E9233C">
        <w:t xml:space="preserve"> 38</w:t>
      </w:r>
    </w:p>
    <w:p w:rsidR="007E155B" w:rsidRPr="00E9233C" w:rsidRDefault="00E9233C" w:rsidP="007E155B">
      <w:pPr>
        <w:pBdr>
          <w:bottom w:val="single" w:sz="12" w:space="1" w:color="auto"/>
        </w:pBdr>
        <w:ind w:left="5040"/>
      </w:pPr>
      <w:r w:rsidRPr="00E9233C">
        <w:t>123 45 Praha</w:t>
      </w:r>
    </w:p>
    <w:p w:rsidR="007E155B" w:rsidRPr="004556E3" w:rsidRDefault="007E155B" w:rsidP="007E155B">
      <w:pPr>
        <w:ind w:left="5040"/>
        <w:rPr>
          <w:b/>
          <w:i/>
        </w:rPr>
      </w:pPr>
      <w:r w:rsidRPr="00E9233C">
        <w:rPr>
          <w:b/>
          <w:i/>
        </w:rPr>
        <w:t xml:space="preserve">ke </w:t>
      </w:r>
      <w:proofErr w:type="spellStart"/>
      <w:r w:rsidRPr="00E9233C">
        <w:rPr>
          <w:b/>
          <w:i/>
        </w:rPr>
        <w:t>sp</w:t>
      </w:r>
      <w:proofErr w:type="spellEnd"/>
      <w:r w:rsidRPr="00E9233C">
        <w:rPr>
          <w:b/>
          <w:i/>
        </w:rPr>
        <w:t xml:space="preserve">. zn. </w:t>
      </w:r>
      <w:r w:rsidR="00E9233C" w:rsidRPr="00E9233C">
        <w:rPr>
          <w:b/>
          <w:i/>
        </w:rPr>
        <w:t>11 Ex 12345/17</w:t>
      </w:r>
    </w:p>
    <w:p w:rsidR="007E155B" w:rsidRDefault="007E155B" w:rsidP="007E155B">
      <w:pPr>
        <w:rPr>
          <w:b/>
        </w:rPr>
      </w:pPr>
    </w:p>
    <w:p w:rsidR="007E155B" w:rsidRDefault="007E155B" w:rsidP="007E155B">
      <w:pPr>
        <w:rPr>
          <w:b/>
        </w:rPr>
      </w:pPr>
    </w:p>
    <w:p w:rsidR="007E155B" w:rsidRDefault="007E155B" w:rsidP="007E155B">
      <w:pPr>
        <w:rPr>
          <w:b/>
        </w:rPr>
      </w:pPr>
    </w:p>
    <w:p w:rsidR="007E155B" w:rsidRPr="00B553CE" w:rsidRDefault="007E155B" w:rsidP="007E155B">
      <w:r w:rsidRPr="00B553CE">
        <w:t xml:space="preserve">V Praze dne </w:t>
      </w:r>
      <w:r>
        <w:t>30.8.</w:t>
      </w:r>
      <w:r w:rsidRPr="00B553CE">
        <w:t>2018</w:t>
      </w:r>
    </w:p>
    <w:p w:rsidR="007E155B" w:rsidRDefault="007E155B" w:rsidP="007E155B">
      <w:pPr>
        <w:rPr>
          <w:b/>
        </w:rPr>
      </w:pPr>
    </w:p>
    <w:p w:rsidR="007E155B" w:rsidRDefault="007E155B" w:rsidP="007E155B">
      <w:pPr>
        <w:rPr>
          <w:b/>
        </w:rPr>
      </w:pPr>
    </w:p>
    <w:p w:rsidR="007E155B" w:rsidRDefault="007E155B" w:rsidP="007E155B">
      <w:pPr>
        <w:rPr>
          <w:b/>
        </w:rPr>
      </w:pPr>
    </w:p>
    <w:p w:rsidR="007E155B" w:rsidRPr="00C4171B" w:rsidRDefault="007E155B" w:rsidP="007E155B">
      <w:pPr>
        <w:rPr>
          <w:b/>
        </w:rPr>
      </w:pPr>
      <w:r w:rsidRPr="00C4171B">
        <w:rPr>
          <w:b/>
        </w:rPr>
        <w:t>Oprávněný:</w:t>
      </w:r>
      <w:r w:rsidRPr="00C4171B">
        <w:rPr>
          <w:b/>
        </w:rPr>
        <w:tab/>
      </w:r>
      <w:r w:rsidRPr="00C4171B">
        <w:rPr>
          <w:b/>
        </w:rPr>
        <w:tab/>
      </w:r>
      <w:r w:rsidR="00566F36">
        <w:rPr>
          <w:b/>
        </w:rPr>
        <w:t xml:space="preserve">CHYTRÉ </w:t>
      </w:r>
      <w:r>
        <w:rPr>
          <w:b/>
        </w:rPr>
        <w:t>ÚVĚRY</w:t>
      </w:r>
      <w:r w:rsidRPr="00C4171B">
        <w:rPr>
          <w:b/>
        </w:rPr>
        <w:t xml:space="preserve">, a.s., IČO: </w:t>
      </w:r>
      <w:r>
        <w:rPr>
          <w:b/>
        </w:rPr>
        <w:t>123 4</w:t>
      </w:r>
      <w:r w:rsidRPr="00C4171B">
        <w:rPr>
          <w:b/>
        </w:rPr>
        <w:t>5 </w:t>
      </w:r>
      <w:r>
        <w:rPr>
          <w:b/>
        </w:rPr>
        <w:t>678</w:t>
      </w:r>
      <w:r w:rsidRPr="00C4171B">
        <w:rPr>
          <w:b/>
        </w:rPr>
        <w:t>,</w:t>
      </w:r>
    </w:p>
    <w:p w:rsidR="007E155B" w:rsidRDefault="007E155B" w:rsidP="007E155B">
      <w:r>
        <w:tab/>
      </w:r>
      <w:r>
        <w:tab/>
      </w:r>
      <w:r>
        <w:tab/>
        <w:t>se sídlem Slepá 21, 123 00 Olomouc</w:t>
      </w:r>
    </w:p>
    <w:p w:rsidR="007E155B" w:rsidRDefault="007E155B" w:rsidP="007E155B"/>
    <w:p w:rsidR="007E155B" w:rsidRDefault="007E155B" w:rsidP="007E155B"/>
    <w:p w:rsidR="007E155B" w:rsidRPr="00C4171B" w:rsidRDefault="007E155B" w:rsidP="007E155B">
      <w:pPr>
        <w:rPr>
          <w:b/>
        </w:rPr>
      </w:pPr>
      <w:r>
        <w:rPr>
          <w:b/>
        </w:rPr>
        <w:t>Povinný</w:t>
      </w:r>
      <w:r w:rsidRPr="00C4171B">
        <w:rPr>
          <w:b/>
        </w:rPr>
        <w:t>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Pavel Nachytal</w:t>
      </w:r>
      <w:r w:rsidRPr="00C4171B">
        <w:rPr>
          <w:b/>
        </w:rPr>
        <w:t xml:space="preserve">, nar. </w:t>
      </w:r>
      <w:r>
        <w:rPr>
          <w:b/>
        </w:rPr>
        <w:t>4.5.1967</w:t>
      </w:r>
      <w:r w:rsidRPr="00C4171B">
        <w:rPr>
          <w:b/>
        </w:rPr>
        <w:t>,</w:t>
      </w:r>
    </w:p>
    <w:p w:rsidR="007E155B" w:rsidRDefault="007E155B" w:rsidP="007E155B">
      <w:pPr>
        <w:ind w:left="1416" w:firstLine="708"/>
      </w:pPr>
      <w:r>
        <w:t xml:space="preserve">bytem Útulná 10, 123 45 Praha, </w:t>
      </w:r>
    </w:p>
    <w:p w:rsidR="007E155B" w:rsidRDefault="007E155B" w:rsidP="007E155B"/>
    <w:p w:rsidR="007E155B" w:rsidRDefault="007E155B" w:rsidP="007E155B"/>
    <w:p w:rsidR="007E155B" w:rsidRPr="00B553CE" w:rsidRDefault="007E155B" w:rsidP="007E155B">
      <w:pPr>
        <w:ind w:left="5040"/>
        <w:rPr>
          <w:b/>
        </w:rPr>
      </w:pPr>
      <w:r w:rsidRPr="00B553CE">
        <w:rPr>
          <w:b/>
        </w:rPr>
        <w:t>Návrh na zastavení exekuce</w:t>
      </w:r>
    </w:p>
    <w:p w:rsidR="007E155B" w:rsidRPr="00B553CE" w:rsidRDefault="007E155B" w:rsidP="007E155B">
      <w:pPr>
        <w:ind w:left="5040" w:firstLine="708"/>
        <w:rPr>
          <w:b/>
        </w:rPr>
      </w:pPr>
    </w:p>
    <w:p w:rsidR="007E155B" w:rsidRDefault="007E155B" w:rsidP="007E155B">
      <w:pPr>
        <w:ind w:firstLine="708"/>
      </w:pPr>
    </w:p>
    <w:p w:rsidR="007E155B" w:rsidRDefault="007E155B" w:rsidP="007E155B"/>
    <w:p w:rsidR="007E155B" w:rsidRDefault="007E155B" w:rsidP="007E155B"/>
    <w:p w:rsidR="007E155B" w:rsidRDefault="007E155B" w:rsidP="007E155B"/>
    <w:p w:rsidR="007E155B" w:rsidRDefault="007E155B" w:rsidP="007E155B"/>
    <w:p w:rsidR="007E155B" w:rsidRDefault="007E155B" w:rsidP="007E155B"/>
    <w:p w:rsidR="007E155B" w:rsidRDefault="007E155B" w:rsidP="007E155B"/>
    <w:p w:rsidR="007E155B" w:rsidRDefault="007E155B" w:rsidP="007E155B"/>
    <w:p w:rsidR="007E155B" w:rsidRDefault="007E155B" w:rsidP="007E155B"/>
    <w:p w:rsidR="00E9233C" w:rsidRDefault="00E9233C" w:rsidP="007E155B"/>
    <w:p w:rsidR="00E9233C" w:rsidRDefault="00E9233C" w:rsidP="007E155B"/>
    <w:p w:rsidR="00E9233C" w:rsidRDefault="00E9233C" w:rsidP="007E155B"/>
    <w:p w:rsidR="007E155B" w:rsidRPr="00C4171B" w:rsidRDefault="007E155B" w:rsidP="00E9233C">
      <w:pPr>
        <w:rPr>
          <w:i/>
        </w:rPr>
      </w:pPr>
      <w:r w:rsidRPr="00C4171B">
        <w:rPr>
          <w:i/>
        </w:rPr>
        <w:t>Příloha:</w:t>
      </w:r>
      <w:r w:rsidRPr="00C4171B">
        <w:rPr>
          <w:i/>
        </w:rPr>
        <w:tab/>
      </w:r>
      <w:r>
        <w:rPr>
          <w:i/>
        </w:rPr>
        <w:tab/>
      </w:r>
      <w:r w:rsidRPr="00C4171B">
        <w:rPr>
          <w:i/>
        </w:rPr>
        <w:t xml:space="preserve">Smlouva o úvěru č. </w:t>
      </w:r>
      <w:r>
        <w:rPr>
          <w:i/>
        </w:rPr>
        <w:t>12345 ze dne 7.9.2015</w:t>
      </w:r>
      <w:r w:rsidRPr="00C4171B">
        <w:rPr>
          <w:i/>
        </w:rPr>
        <w:t xml:space="preserve"> včetně všeobecných obchodních podmínek</w:t>
      </w:r>
    </w:p>
    <w:p w:rsidR="007E155B" w:rsidRDefault="007E155B" w:rsidP="007E155B">
      <w:pPr>
        <w:ind w:firstLine="708"/>
      </w:pPr>
    </w:p>
    <w:p w:rsidR="007E155B" w:rsidRDefault="007E155B" w:rsidP="007E155B">
      <w:pPr>
        <w:ind w:firstLine="708"/>
      </w:pPr>
    </w:p>
    <w:p w:rsidR="007E155B" w:rsidRDefault="007E155B" w:rsidP="007E155B">
      <w:pPr>
        <w:ind w:firstLine="708"/>
      </w:pPr>
      <w:r>
        <w:lastRenderedPageBreak/>
        <w:t xml:space="preserve">Na základě usnesení Okresního soudu pro Prahu 1 ze dne 20.1.2017, </w:t>
      </w:r>
      <w:proofErr w:type="spellStart"/>
      <w:r>
        <w:t>č.j</w:t>
      </w:r>
      <w:proofErr w:type="spellEnd"/>
      <w:r>
        <w:t xml:space="preserve">. 2 EXE 115/2017-66 byla proti </w:t>
      </w:r>
      <w:r w:rsidR="00CC09F4">
        <w:t>mé osobě</w:t>
      </w:r>
      <w:r>
        <w:t xml:space="preserve"> nařízena exekuce podle rozhodčího nálezu vydaného rozhodcem Mgr. Michalem Rozhodným, dne 1.12.2016, </w:t>
      </w:r>
      <w:proofErr w:type="spellStart"/>
      <w:r>
        <w:t>sp</w:t>
      </w:r>
      <w:proofErr w:type="spellEnd"/>
      <w:r>
        <w:t xml:space="preserve">. zn. 1234/2016 k uspokojení pohledávky oprávněného ve výši 100.000,- Kč s úrokem z prodlení ve výši 8% </w:t>
      </w:r>
      <w:proofErr w:type="spellStart"/>
      <w:r>
        <w:t>p.a</w:t>
      </w:r>
      <w:proofErr w:type="spellEnd"/>
      <w:r>
        <w:t xml:space="preserve">. z částky 100.000, -Kč od 13.2.2016 do 30.6.2016 a od 1.7.2016 do zaplacení z částky 100.000,- Kč s ročním úrokem z prodlení ve výši, která v každém jednotlivém kalendářním pololetí trvání prodlení odpovídá v procentech součtu čísla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výše limitní sazby dvoutýdenní </w:t>
      </w:r>
      <w:proofErr w:type="spellStart"/>
      <w:r>
        <w:t>repo</w:t>
      </w:r>
      <w:proofErr w:type="spellEnd"/>
      <w:r>
        <w:t xml:space="preserve"> operace ČNB vyhlášené ve Věstníku ČNB a platné vždy k 1. dni příslušného kalendářního pololetí, nákladů předcházejícího řízení ve výši </w:t>
      </w:r>
      <w:r w:rsidR="00CC09F4">
        <w:t>50</w:t>
      </w:r>
      <w:r>
        <w:t>.000,- Kč, jakož i povinnosti povinného uhradit oprávněnému jeho náklady účelně</w:t>
      </w:r>
      <w:r w:rsidR="00CC09F4">
        <w:t xml:space="preserve"> vynaložené k vymáhání nároku (</w:t>
      </w:r>
      <w:r>
        <w:t xml:space="preserve">náklady oprávněného) a náklady soudnímu exekutorovi pověřenému vedením exekuce, jejichž výše bude vyčíslena samostatným rozhodnutím v příkazu k úhradě nákladů exekuce. Provedením exekuce byl pověřen soudní exekutor </w:t>
      </w:r>
      <w:r w:rsidRPr="00E9233C">
        <w:t xml:space="preserve">JUDr. </w:t>
      </w:r>
      <w:r w:rsidR="00E9233C" w:rsidRPr="00E9233C">
        <w:t>Miloslav Vymahač</w:t>
      </w:r>
      <w:r w:rsidRPr="00E9233C">
        <w:t xml:space="preserve">, Exekutorský úřad </w:t>
      </w:r>
      <w:r w:rsidR="00E9233C" w:rsidRPr="00E9233C">
        <w:t>Praha</w:t>
      </w:r>
      <w:r w:rsidRPr="00E9233C">
        <w:t xml:space="preserve">, se sídlem </w:t>
      </w:r>
      <w:proofErr w:type="spellStart"/>
      <w:r w:rsidR="00E9233C" w:rsidRPr="00E9233C">
        <w:t>Vykočilova</w:t>
      </w:r>
      <w:proofErr w:type="spellEnd"/>
      <w:r w:rsidR="00E9233C" w:rsidRPr="00E9233C">
        <w:t xml:space="preserve"> 38</w:t>
      </w:r>
      <w:r w:rsidRPr="00E9233C">
        <w:t xml:space="preserve">, </w:t>
      </w:r>
      <w:r w:rsidR="00E9233C" w:rsidRPr="00E9233C">
        <w:t>123 45 Praha</w:t>
      </w:r>
      <w:r w:rsidRPr="00E9233C">
        <w:t>.</w:t>
      </w:r>
      <w:r w:rsidRPr="004556E3">
        <w:t xml:space="preserve"> </w:t>
      </w:r>
    </w:p>
    <w:p w:rsidR="007E155B" w:rsidRDefault="007E155B" w:rsidP="007E155B"/>
    <w:p w:rsidR="007E155B" w:rsidRDefault="00AC452A" w:rsidP="007E155B">
      <w:pPr>
        <w:ind w:firstLine="708"/>
      </w:pPr>
      <w:r>
        <w:t xml:space="preserve">Tímto </w:t>
      </w:r>
      <w:r w:rsidR="007E155B">
        <w:t>podává</w:t>
      </w:r>
      <w:r>
        <w:t>m</w:t>
      </w:r>
      <w:r w:rsidR="007E155B">
        <w:t xml:space="preserve"> návrh na zastavení exekuce z důvodu dle </w:t>
      </w:r>
      <w:proofErr w:type="spellStart"/>
      <w:r w:rsidR="007E155B">
        <w:t>ust</w:t>
      </w:r>
      <w:proofErr w:type="spellEnd"/>
      <w:r w:rsidR="007E155B">
        <w:t>. § 268 odst. 1 písm. h) občanského soudního řádu, neboť je nařízený výkon rozhodnutí nepřípustný z důvodu, že spočívá na nezpůsobilém exekučním titulu.</w:t>
      </w:r>
    </w:p>
    <w:p w:rsidR="007E155B" w:rsidRDefault="007E155B" w:rsidP="007E155B"/>
    <w:p w:rsidR="007E155B" w:rsidRDefault="007E155B" w:rsidP="001172D5">
      <w:pPr>
        <w:ind w:firstLine="708"/>
      </w:pPr>
      <w:r>
        <w:t xml:space="preserve">Jak z výše uvedeného vyplývá, exekuce byla nařízena na základě rozhodčího nálezu vydaného rozhodcem Mgr. Mgr. Michalem Rozhodným dne 1.12.2016, </w:t>
      </w:r>
      <w:proofErr w:type="spellStart"/>
      <w:r>
        <w:t>sp</w:t>
      </w:r>
      <w:proofErr w:type="spellEnd"/>
      <w:r>
        <w:t>. zn. 1234/2016. Rozhodce svoji pravomoc k rozhodování v dané věci dovodil z rozhodčí doložky sjednané v bodu 13 Všeobecných obchodních podmínek oprávněného, které byly př</w:t>
      </w:r>
      <w:r w:rsidR="001172D5">
        <w:t xml:space="preserve">ílohou Smlouvy o úvěru č. 12345, dle které měl v případě sporu </w:t>
      </w:r>
      <w:r w:rsidR="001172D5" w:rsidRPr="001172D5">
        <w:t xml:space="preserve">rozhodovat rozhodce jmenovaný </w:t>
      </w:r>
      <w:r w:rsidR="001172D5">
        <w:t>Rozhodčí společností</w:t>
      </w:r>
      <w:r w:rsidR="001172D5" w:rsidRPr="001172D5">
        <w:t xml:space="preserve">, a.s., IČ </w:t>
      </w:r>
      <w:r w:rsidR="001172D5">
        <w:t>123 45</w:t>
      </w:r>
      <w:r w:rsidR="001172D5" w:rsidRPr="001172D5">
        <w:t> </w:t>
      </w:r>
      <w:r w:rsidR="001172D5">
        <w:t>678</w:t>
      </w:r>
      <w:r w:rsidR="001172D5" w:rsidRPr="001172D5">
        <w:t xml:space="preserve">, vybraný ze seznamu rozhodců vedeném </w:t>
      </w:r>
      <w:r w:rsidR="001172D5">
        <w:t>touto společností</w:t>
      </w:r>
      <w:r w:rsidR="001172D5" w:rsidRPr="001172D5">
        <w:t>.</w:t>
      </w:r>
      <w:r w:rsidR="001172D5">
        <w:t xml:space="preserve"> </w:t>
      </w:r>
      <w:r w:rsidR="00AC452A">
        <w:t>K tomu uvádím</w:t>
      </w:r>
      <w:r w:rsidR="001172D5">
        <w:t xml:space="preserve">, že takto sjednaná rozhodčí doložka je nepatná a rozhodce tak neměl pravomoc k rozhodnutí sporu. </w:t>
      </w:r>
    </w:p>
    <w:p w:rsidR="007E155B" w:rsidRDefault="007E155B" w:rsidP="007E155B"/>
    <w:p w:rsidR="007E155B" w:rsidRPr="00492F04" w:rsidRDefault="007E155B" w:rsidP="007E155B">
      <w:pPr>
        <w:ind w:firstLine="708"/>
        <w:rPr>
          <w:i/>
        </w:rPr>
      </w:pPr>
      <w:r>
        <w:t>Ohledně důvodů neplatnosti sjednané rozhodčí doložky od</w:t>
      </w:r>
      <w:r w:rsidR="00AC452A">
        <w:t>kazuji</w:t>
      </w:r>
      <w:r>
        <w:t xml:space="preserve"> na ustálenou judikaturu soudů, zejména na ustálenou judikaturu Ústavního soudu, například na nález </w:t>
      </w:r>
      <w:proofErr w:type="spellStart"/>
      <w:r>
        <w:t>sp</w:t>
      </w:r>
      <w:proofErr w:type="spellEnd"/>
      <w:r>
        <w:t xml:space="preserve">. zn. III. ÚS 1269/12 ze dne 12.6.2014 v němž </w:t>
      </w:r>
      <w:r w:rsidRPr="008D46B7">
        <w:rPr>
          <w:b/>
        </w:rPr>
        <w:t xml:space="preserve">Ústavní soud vyslovil, že </w:t>
      </w:r>
      <w:r w:rsidRPr="008D46B7">
        <w:rPr>
          <w:b/>
          <w:i/>
        </w:rPr>
        <w:t>„</w:t>
      </w:r>
      <w:r w:rsidRPr="00927C5E">
        <w:rPr>
          <w:b/>
          <w:i/>
        </w:rPr>
        <w:t>neobsahuje –li rozhodčí smlouva přímé určení rozhodce ad hoc, resp. konkrétní způsob jeho určení, ale v této souvislosti pouze odkazuje na výběr obchod</w:t>
      </w:r>
      <w:r>
        <w:rPr>
          <w:b/>
          <w:i/>
        </w:rPr>
        <w:t>n</w:t>
      </w:r>
      <w:r w:rsidRPr="00927C5E">
        <w:rPr>
          <w:b/>
          <w:i/>
        </w:rPr>
        <w:t>í společností, která není stálým rozhodčím soudem zřízeným na základě zákona, je taková rozhodčí smlouva neplatná;</w:t>
      </w:r>
      <w:r w:rsidRPr="00492F04">
        <w:rPr>
          <w:i/>
        </w:rPr>
        <w:t xml:space="preserve"> jde totiž o zjevné nastavení podmínek vzbuzujících důvodné pochybnosti o perspektivě nezávi</w:t>
      </w:r>
      <w:r>
        <w:rPr>
          <w:i/>
        </w:rPr>
        <w:t>slého a nestranného řešení sporu</w:t>
      </w:r>
      <w:r w:rsidRPr="00492F04">
        <w:rPr>
          <w:i/>
        </w:rPr>
        <w:t xml:space="preserve">. Seznam rozhodců, z nichž obchodní společnost vybírá rozhodce, může být v okamžiku řešení sporu v rozhodčím řízení naprosto odlišný od seznamu v okamžiku uzavření rozhodčí </w:t>
      </w:r>
      <w:r>
        <w:rPr>
          <w:i/>
        </w:rPr>
        <w:t>doložky, a tak vý</w:t>
      </w:r>
      <w:r w:rsidRPr="00492F04">
        <w:rPr>
          <w:i/>
        </w:rPr>
        <w:t>běr rozhodce vůbec nemusí záviset na vůli účastníka, který se na daný subjekt obrací, nýbrž je pod vlivem rozhodčí společnosti, např. zařazením konkrétních osob do seznamu nebo naopak vyřazením jiných.“</w:t>
      </w:r>
    </w:p>
    <w:p w:rsidR="007E155B" w:rsidRDefault="007E155B" w:rsidP="007E155B"/>
    <w:p w:rsidR="007E155B" w:rsidRDefault="007E155B" w:rsidP="007E155B"/>
    <w:p w:rsidR="007E155B" w:rsidRDefault="007E155B" w:rsidP="007E155B">
      <w:pPr>
        <w:ind w:firstLine="708"/>
      </w:pPr>
      <w:r>
        <w:t xml:space="preserve">Dle ustálené judikatury Nejvyššího soudu (např. rozhodnutí ze dne 12.8.2015, vydané pod </w:t>
      </w:r>
      <w:proofErr w:type="spellStart"/>
      <w:r>
        <w:t>sp</w:t>
      </w:r>
      <w:proofErr w:type="spellEnd"/>
      <w:r>
        <w:t xml:space="preserve">. zn. 26 </w:t>
      </w:r>
      <w:proofErr w:type="spellStart"/>
      <w:r>
        <w:t>Cdo</w:t>
      </w:r>
      <w:proofErr w:type="spellEnd"/>
      <w:r>
        <w:t xml:space="preserve"> 638/2015) je v exekučním řízení před pověřením exekutora provedením exekuce nezbytné zkoumat, zda byl exekuční titul vydán orgánem, který k tomu měl pravomoc. Pokud soud zjistí, že rozhodčí doložka nebyla uzavřena nebo byla sjednána neplatně a rozhodce přesto </w:t>
      </w:r>
      <w:r>
        <w:lastRenderedPageBreak/>
        <w:t xml:space="preserve">vydal rozhodčí nález, ačkoliv k tomu neměl pravomoc, dá soudnímu exekutorovi pokyn, aby exekuční návrh zamítl. V případě již zahájené a probíhající exekuce jsou pak splněné podmínky pro zastavení exekuce dle </w:t>
      </w:r>
      <w:proofErr w:type="spellStart"/>
      <w:r>
        <w:t>ust</w:t>
      </w:r>
      <w:proofErr w:type="spellEnd"/>
      <w:r>
        <w:t xml:space="preserve">. § 268 odst. 1 písm. h) občanského soudního řádu. </w:t>
      </w:r>
    </w:p>
    <w:p w:rsidR="007E155B" w:rsidRDefault="007E155B" w:rsidP="007E155B"/>
    <w:p w:rsidR="007E155B" w:rsidRDefault="007E155B" w:rsidP="007E155B">
      <w:pPr>
        <w:ind w:firstLine="708"/>
      </w:pPr>
      <w:r>
        <w:t xml:space="preserve">K nákladům  exekuce  a k nákladům oprávněného (náklady exekučního řízení) </w:t>
      </w:r>
      <w:r w:rsidR="00AC452A">
        <w:t>navrhuji</w:t>
      </w:r>
      <w:r>
        <w:t xml:space="preserve">, aby bylo rozhodnuto tak, že tyto nese plně oprávněný, neboť k podání návrhu na exekuci došlo dne </w:t>
      </w:r>
      <w:r w:rsidR="00E9233C">
        <w:t>10.1.2017</w:t>
      </w:r>
      <w:r>
        <w:t xml:space="preserve"> a již v té době muselo být oprávněnému s ohledem na judikaturu Nejvyššího soudu a judikaturu Ústavního soudu zřejmé, že se domáhá výkonu rozhodnutí na základě nezpůsobilého exekučního titulu. </w:t>
      </w:r>
    </w:p>
    <w:p w:rsidR="007E155B" w:rsidRDefault="007E155B" w:rsidP="007E155B"/>
    <w:p w:rsidR="007E155B" w:rsidRDefault="00AC452A" w:rsidP="007E155B">
      <w:pPr>
        <w:ind w:firstLine="360"/>
      </w:pPr>
      <w:r>
        <w:t>Navrhuji tedy</w:t>
      </w:r>
      <w:r w:rsidR="007E155B">
        <w:t>, aby nadepsaný soudní exekutor vydal následující rozhodnutí:</w:t>
      </w:r>
    </w:p>
    <w:p w:rsidR="007E155B" w:rsidRDefault="007E155B" w:rsidP="007E155B"/>
    <w:p w:rsidR="0062218E" w:rsidRDefault="007E155B" w:rsidP="0062218E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Exekuce vedená proti </w:t>
      </w:r>
      <w:r w:rsidR="00E9233C">
        <w:rPr>
          <w:b/>
        </w:rPr>
        <w:t xml:space="preserve">Pavlu </w:t>
      </w:r>
      <w:proofErr w:type="spellStart"/>
      <w:r w:rsidR="00E9233C">
        <w:rPr>
          <w:b/>
        </w:rPr>
        <w:t>Nachytalovi</w:t>
      </w:r>
      <w:proofErr w:type="spellEnd"/>
      <w:r w:rsidR="00E9233C" w:rsidRPr="00C4171B">
        <w:rPr>
          <w:b/>
        </w:rPr>
        <w:t xml:space="preserve">, nar. </w:t>
      </w:r>
      <w:r w:rsidR="00E9233C">
        <w:rPr>
          <w:b/>
        </w:rPr>
        <w:t>4.5.1967</w:t>
      </w:r>
      <w:r>
        <w:rPr>
          <w:b/>
        </w:rPr>
        <w:t>, nařízená usnesením</w:t>
      </w:r>
      <w:r w:rsidR="0062218E">
        <w:rPr>
          <w:b/>
        </w:rPr>
        <w:t xml:space="preserve"> </w:t>
      </w:r>
    </w:p>
    <w:p w:rsidR="007E155B" w:rsidRPr="0062218E" w:rsidRDefault="00E9233C" w:rsidP="0062218E">
      <w:pPr>
        <w:pStyle w:val="Odstavecseseznamem"/>
        <w:ind w:left="0" w:firstLine="708"/>
        <w:rPr>
          <w:b/>
        </w:rPr>
      </w:pPr>
      <w:r w:rsidRPr="0062218E">
        <w:rPr>
          <w:b/>
        </w:rPr>
        <w:t xml:space="preserve">Okresního soudu pro Prahu 1 ze dne 20.1.2017, </w:t>
      </w:r>
      <w:proofErr w:type="spellStart"/>
      <w:r w:rsidRPr="0062218E">
        <w:rPr>
          <w:b/>
        </w:rPr>
        <w:t>č.j</w:t>
      </w:r>
      <w:proofErr w:type="spellEnd"/>
      <w:r w:rsidRPr="0062218E">
        <w:rPr>
          <w:b/>
        </w:rPr>
        <w:t xml:space="preserve">. 2 EXE 115/2017-66 </w:t>
      </w:r>
      <w:r w:rsidR="007E155B" w:rsidRPr="0062218E">
        <w:rPr>
          <w:b/>
        </w:rPr>
        <w:t>se zastavuje.</w:t>
      </w:r>
    </w:p>
    <w:p w:rsidR="00E26359" w:rsidRDefault="007E155B" w:rsidP="00E26359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69276A">
        <w:rPr>
          <w:b/>
        </w:rPr>
        <w:t>Oprávněn</w:t>
      </w:r>
      <w:r w:rsidR="00E9233C">
        <w:rPr>
          <w:b/>
        </w:rPr>
        <w:t>ý je povinen zaplatit povinnému</w:t>
      </w:r>
      <w:r>
        <w:rPr>
          <w:b/>
        </w:rPr>
        <w:t xml:space="preserve"> </w:t>
      </w:r>
      <w:r w:rsidRPr="0069276A">
        <w:rPr>
          <w:b/>
        </w:rPr>
        <w:t>náklady exekučního řízení.</w:t>
      </w:r>
    </w:p>
    <w:p w:rsidR="00E26359" w:rsidRDefault="007E155B" w:rsidP="00E26359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E26359">
        <w:rPr>
          <w:b/>
          <w:color w:val="000000"/>
          <w:szCs w:val="24"/>
        </w:rPr>
        <w:t xml:space="preserve">Oprávněný je povinen zaplatit </w:t>
      </w:r>
      <w:r w:rsidRPr="00E26359">
        <w:rPr>
          <w:rFonts w:cs="Arial"/>
          <w:b/>
          <w:color w:val="000000"/>
          <w:szCs w:val="24"/>
          <w:shd w:val="clear" w:color="auto" w:fill="FFFFFF"/>
        </w:rPr>
        <w:t xml:space="preserve">soudnímu exekutorovi </w:t>
      </w:r>
      <w:r w:rsidR="00E9233C" w:rsidRPr="00E26359">
        <w:rPr>
          <w:b/>
        </w:rPr>
        <w:t xml:space="preserve">JUDr. Miloslavu Vymahači, </w:t>
      </w:r>
    </w:p>
    <w:p w:rsidR="007E155B" w:rsidRPr="00E26359" w:rsidRDefault="00E26359" w:rsidP="00E26359">
      <w:pPr>
        <w:pStyle w:val="Odstavecseseznamem"/>
        <w:ind w:left="0"/>
        <w:rPr>
          <w:b/>
        </w:rPr>
      </w:pPr>
      <w:r>
        <w:rPr>
          <w:b/>
          <w:color w:val="000000"/>
          <w:szCs w:val="24"/>
        </w:rPr>
        <w:tab/>
      </w:r>
      <w:r w:rsidR="00E9233C" w:rsidRPr="00E26359">
        <w:rPr>
          <w:b/>
        </w:rPr>
        <w:t>Exekutorský úřad Praha</w:t>
      </w:r>
      <w:r w:rsidR="007E155B" w:rsidRPr="00E26359">
        <w:rPr>
          <w:rFonts w:cs="Arial"/>
          <w:b/>
          <w:color w:val="000000"/>
          <w:szCs w:val="24"/>
          <w:shd w:val="clear" w:color="auto" w:fill="FFFFFF"/>
        </w:rPr>
        <w:t>, náhradu nákladů exekuce.</w:t>
      </w:r>
    </w:p>
    <w:p w:rsidR="007E155B" w:rsidRDefault="007E155B" w:rsidP="007E155B">
      <w:pPr>
        <w:rPr>
          <w:szCs w:val="24"/>
        </w:rPr>
      </w:pPr>
    </w:p>
    <w:p w:rsidR="007E155B" w:rsidRDefault="007E155B" w:rsidP="007E155B">
      <w:pPr>
        <w:rPr>
          <w:szCs w:val="24"/>
        </w:rPr>
      </w:pPr>
    </w:p>
    <w:p w:rsidR="007E155B" w:rsidRPr="0069276A" w:rsidRDefault="00E9233C" w:rsidP="007E155B">
      <w:pPr>
        <w:jc w:val="right"/>
        <w:rPr>
          <w:b/>
          <w:color w:val="000000"/>
          <w:szCs w:val="24"/>
        </w:rPr>
      </w:pPr>
      <w:r>
        <w:rPr>
          <w:szCs w:val="24"/>
        </w:rPr>
        <w:t>Pavel Nachytal</w:t>
      </w:r>
    </w:p>
    <w:p w:rsidR="005656FC" w:rsidRDefault="005656FC"/>
    <w:sectPr w:rsidR="005656FC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36" w:rsidRDefault="00566F36" w:rsidP="007E155B">
      <w:pPr>
        <w:spacing w:line="240" w:lineRule="auto"/>
      </w:pPr>
      <w:r>
        <w:separator/>
      </w:r>
    </w:p>
  </w:endnote>
  <w:endnote w:type="continuationSeparator" w:id="0">
    <w:p w:rsidR="00566F36" w:rsidRDefault="00566F36" w:rsidP="007E1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36" w:rsidRDefault="00566F36" w:rsidP="007E155B">
      <w:pPr>
        <w:spacing w:line="240" w:lineRule="auto"/>
      </w:pPr>
      <w:r>
        <w:separator/>
      </w:r>
    </w:p>
  </w:footnote>
  <w:footnote w:type="continuationSeparator" w:id="0">
    <w:p w:rsidR="00566F36" w:rsidRDefault="00566F36" w:rsidP="007E15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993"/>
    <w:multiLevelType w:val="hybridMultilevel"/>
    <w:tmpl w:val="3C981C6C"/>
    <w:lvl w:ilvl="0" w:tplc="2C02B870">
      <w:start w:val="1"/>
      <w:numFmt w:val="upperRoman"/>
      <w:lvlText w:val="%1."/>
      <w:lvlJc w:val="left"/>
      <w:pPr>
        <w:ind w:left="432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stylePaneFormatFilter w:val="10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55B"/>
    <w:rsid w:val="000F090B"/>
    <w:rsid w:val="001172D5"/>
    <w:rsid w:val="0035065C"/>
    <w:rsid w:val="003A73A2"/>
    <w:rsid w:val="003B165E"/>
    <w:rsid w:val="003B6833"/>
    <w:rsid w:val="003C6928"/>
    <w:rsid w:val="00495329"/>
    <w:rsid w:val="005159C5"/>
    <w:rsid w:val="005656FC"/>
    <w:rsid w:val="00566F36"/>
    <w:rsid w:val="0062218E"/>
    <w:rsid w:val="00777ADE"/>
    <w:rsid w:val="00785890"/>
    <w:rsid w:val="007C2278"/>
    <w:rsid w:val="007E155B"/>
    <w:rsid w:val="008735B5"/>
    <w:rsid w:val="009054E2"/>
    <w:rsid w:val="009501AB"/>
    <w:rsid w:val="00951727"/>
    <w:rsid w:val="00A158FA"/>
    <w:rsid w:val="00A34830"/>
    <w:rsid w:val="00AC452A"/>
    <w:rsid w:val="00BB21CC"/>
    <w:rsid w:val="00C04A16"/>
    <w:rsid w:val="00CC09F4"/>
    <w:rsid w:val="00DA3245"/>
    <w:rsid w:val="00E26359"/>
    <w:rsid w:val="00E45289"/>
    <w:rsid w:val="00E74AC7"/>
    <w:rsid w:val="00E9233C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55B"/>
    <w:pPr>
      <w:spacing w:after="0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rsid w:val="007E155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E15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E15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55B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rsid w:val="007E1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55B"/>
    <w:rPr>
      <w:rFonts w:ascii="Garamond" w:eastAsia="Calibri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dcterms:created xsi:type="dcterms:W3CDTF">2018-11-16T08:56:00Z</dcterms:created>
  <dcterms:modified xsi:type="dcterms:W3CDTF">2018-11-16T09:38:00Z</dcterms:modified>
</cp:coreProperties>
</file>